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8612F" w:rsidRDefault="0018612F" w:rsidP="006E2C80">
      <w:pPr>
        <w:ind w:firstLine="720"/>
        <w:jc w:val="center"/>
        <w:rPr>
          <w:b/>
        </w:rPr>
      </w:pPr>
    </w:p>
    <w:p w:rsidR="006E2C80" w:rsidRPr="006E2C80" w:rsidRDefault="00AD3DA9" w:rsidP="006E2C80">
      <w:pPr>
        <w:ind w:firstLine="720"/>
        <w:jc w:val="center"/>
        <w:rPr>
          <w:b/>
        </w:rPr>
      </w:pPr>
      <w:r w:rsidRPr="006E2C80">
        <w:rPr>
          <w:b/>
        </w:rPr>
        <w:t>Bank Accounting</w:t>
      </w:r>
    </w:p>
    <w:p w:rsidR="006E2C80" w:rsidRDefault="006E2C80" w:rsidP="006E2C80">
      <w:pPr>
        <w:rPr>
          <w:sz w:val="22"/>
          <w:szCs w:val="22"/>
        </w:rPr>
      </w:pPr>
    </w:p>
    <w:p w:rsidR="00AD7547" w:rsidRDefault="00AD7547" w:rsidP="006E2C80">
      <w:pPr>
        <w:jc w:val="center"/>
      </w:pPr>
    </w:p>
    <w:p w:rsidR="006E2C80" w:rsidRDefault="006E2C80" w:rsidP="006E2C80">
      <w:pPr>
        <w:jc w:val="center"/>
      </w:pPr>
    </w:p>
    <w:p w:rsidR="006E2C80" w:rsidRDefault="006E2C80" w:rsidP="006E2C80">
      <w:pPr>
        <w:jc w:val="center"/>
      </w:pPr>
    </w:p>
    <w:p w:rsidR="006E2C80" w:rsidRDefault="00AD3DA9" w:rsidP="006E2C80">
      <w:pPr>
        <w:jc w:val="center"/>
      </w:pPr>
      <w:r>
        <w:t xml:space="preserve">Name </w:t>
      </w:r>
    </w:p>
    <w:p w:rsidR="006E2C80" w:rsidRDefault="00AD3DA9" w:rsidP="006E2C80">
      <w:pPr>
        <w:jc w:val="center"/>
      </w:pPr>
      <w:r>
        <w:t>Affiliation</w:t>
      </w:r>
    </w:p>
    <w:p w:rsidR="006E2C80" w:rsidRDefault="00AD3DA9" w:rsidP="006E2C80">
      <w:pPr>
        <w:jc w:val="center"/>
      </w:pPr>
      <w:r>
        <w:t>Date</w:t>
      </w: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6E2C80" w:rsidRDefault="006E2C80" w:rsidP="006E2C80">
      <w:pPr>
        <w:jc w:val="center"/>
      </w:pPr>
    </w:p>
    <w:p w:rsidR="00DA55C8" w:rsidRDefault="00DA55C8" w:rsidP="006E2C80">
      <w:pPr>
        <w:jc w:val="center"/>
      </w:pPr>
    </w:p>
    <w:p w:rsidR="00DA55C8" w:rsidRDefault="00DA55C8" w:rsidP="006E2C80">
      <w:pPr>
        <w:jc w:val="center"/>
      </w:pPr>
    </w:p>
    <w:p w:rsidR="00DA55C8" w:rsidRDefault="00DA55C8" w:rsidP="006E2C80">
      <w:pPr>
        <w:jc w:val="center"/>
      </w:pPr>
    </w:p>
    <w:p w:rsidR="00DA55C8" w:rsidRDefault="00DA55C8" w:rsidP="006E2C80">
      <w:pPr>
        <w:jc w:val="center"/>
      </w:pPr>
    </w:p>
    <w:p w:rsidR="00DA55C8" w:rsidRDefault="00DA55C8" w:rsidP="006E2C80">
      <w:pPr>
        <w:jc w:val="center"/>
      </w:pPr>
    </w:p>
    <w:p w:rsidR="00DA55C8" w:rsidRDefault="00DA55C8" w:rsidP="006E2C80">
      <w:pPr>
        <w:jc w:val="center"/>
      </w:pPr>
    </w:p>
    <w:p w:rsidR="00DA55C8" w:rsidRDefault="00DA55C8" w:rsidP="006E2C80">
      <w:pPr>
        <w:jc w:val="center"/>
      </w:pPr>
    </w:p>
    <w:p w:rsidR="00DA55C8" w:rsidRDefault="00DA55C8" w:rsidP="006E2C80">
      <w:pPr>
        <w:jc w:val="center"/>
      </w:pPr>
    </w:p>
    <w:p w:rsidR="00DA55C8" w:rsidRDefault="00DA55C8" w:rsidP="006E2C80">
      <w:pPr>
        <w:jc w:val="center"/>
      </w:pPr>
    </w:p>
    <w:p w:rsidR="00DA55C8" w:rsidRDefault="00DA55C8" w:rsidP="006E2C80">
      <w:pPr>
        <w:jc w:val="center"/>
      </w:pPr>
    </w:p>
    <w:p w:rsidR="00DA55C8" w:rsidRDefault="00DA55C8" w:rsidP="006E2C80">
      <w:pPr>
        <w:jc w:val="center"/>
      </w:pPr>
    </w:p>
    <w:p w:rsidR="00DA55C8" w:rsidRDefault="00DA55C8" w:rsidP="006E2C80">
      <w:pPr>
        <w:jc w:val="center"/>
      </w:pPr>
    </w:p>
    <w:p w:rsidR="00DA55C8" w:rsidRDefault="00DA55C8" w:rsidP="006E2C80">
      <w:pPr>
        <w:jc w:val="center"/>
      </w:pPr>
    </w:p>
    <w:p w:rsidR="00DA55C8" w:rsidRDefault="00DA55C8" w:rsidP="006E2C80">
      <w:pPr>
        <w:jc w:val="center"/>
      </w:pPr>
    </w:p>
    <w:p w:rsidR="00DA55C8" w:rsidRDefault="00DA55C8" w:rsidP="006E2C80">
      <w:pPr>
        <w:jc w:val="center"/>
      </w:pPr>
    </w:p>
    <w:p w:rsidR="00DA55C8" w:rsidRDefault="00DA55C8" w:rsidP="006E2C80">
      <w:pPr>
        <w:jc w:val="center"/>
      </w:pPr>
    </w:p>
    <w:p w:rsidR="00DA55C8" w:rsidRPr="006E2C80" w:rsidRDefault="00AD3DA9" w:rsidP="00DA55C8">
      <w:pPr>
        <w:ind w:firstLine="720"/>
        <w:jc w:val="center"/>
        <w:rPr>
          <w:b/>
        </w:rPr>
      </w:pPr>
      <w:r w:rsidRPr="006E2C80">
        <w:rPr>
          <w:b/>
        </w:rPr>
        <w:t>Bank Accounting</w:t>
      </w:r>
    </w:p>
    <w:p w:rsidR="00DA55C8" w:rsidRDefault="00AD3DA9" w:rsidP="00DA55C8">
      <w:pPr>
        <w:rPr>
          <w:b/>
        </w:rPr>
      </w:pPr>
      <w:r w:rsidRPr="00DA55C8">
        <w:rPr>
          <w:b/>
        </w:rPr>
        <w:t>Question One</w:t>
      </w:r>
    </w:p>
    <w:p w:rsidR="00DA55C8" w:rsidRDefault="00AD3DA9" w:rsidP="00DA55C8">
      <w:r>
        <w:rPr>
          <w:b/>
        </w:rPr>
        <w:tab/>
      </w:r>
      <w:r w:rsidR="009A4E14">
        <w:t xml:space="preserve">Financial accounting standards board (FASB) is the banking industry rule-making body. Some of the rule changes involve the rule that requires banks, insurer and securities to use market price to assign assets and value to mortgage securities that antagonize on exchanges to "mark to </w:t>
      </w:r>
      <w:r w:rsidR="00044104">
        <w:t xml:space="preserve">market". According to FASB, the change was crucial since the </w:t>
      </w:r>
      <w:r w:rsidR="008D0E5E">
        <w:t>prevailing</w:t>
      </w:r>
      <w:r w:rsidR="00044104">
        <w:t xml:space="preserve"> rules never </w:t>
      </w:r>
      <w:r w:rsidR="008D0E5E">
        <w:t xml:space="preserve">considered </w:t>
      </w:r>
      <w:r w:rsidR="00044104">
        <w:t xml:space="preserve">the kind of market </w:t>
      </w:r>
      <w:r w:rsidR="008D0E5E">
        <w:t>chaos</w:t>
      </w:r>
      <w:r w:rsidR="00044104">
        <w:t xml:space="preserve"> that </w:t>
      </w:r>
      <w:r w:rsidR="008D0E5E">
        <w:t>outspread</w:t>
      </w:r>
      <w:r w:rsidR="00044104">
        <w:t xml:space="preserve"> in the previous year.</w:t>
      </w:r>
    </w:p>
    <w:p w:rsidR="008D0E5E" w:rsidRPr="008D0E5E" w:rsidRDefault="00AD3DA9" w:rsidP="00DA55C8">
      <w:pPr>
        <w:rPr>
          <w:b/>
        </w:rPr>
      </w:pPr>
      <w:r w:rsidRPr="008D0E5E">
        <w:rPr>
          <w:b/>
        </w:rPr>
        <w:t>Question Two</w:t>
      </w:r>
    </w:p>
    <w:p w:rsidR="008D0E5E" w:rsidRDefault="00AD3DA9" w:rsidP="00DA55C8">
      <w:r>
        <w:tab/>
      </w:r>
      <w:r w:rsidR="00B166A2">
        <w:t xml:space="preserve">Due to the changes in bank rules, financial firms and mortgage security to report billion of dollar losses on the specific </w:t>
      </w:r>
      <w:r w:rsidR="00A80AFA">
        <w:t>assets. The difference also enables improvement on investor sentimentality on banks. Some the</w:t>
      </w:r>
      <w:r w:rsidR="00B166A2">
        <w:t xml:space="preserve"> reflection of financial firms regarding the </w:t>
      </w:r>
      <w:r w:rsidR="00A80AFA">
        <w:t xml:space="preserve">accounting change in their first quarter and the second year </w:t>
      </w:r>
      <w:r w:rsidR="00305586">
        <w:t>is; Well</w:t>
      </w:r>
      <w:r w:rsidR="00A80AFA">
        <w:t xml:space="preserve"> </w:t>
      </w:r>
      <w:r w:rsidR="00305586">
        <w:t>Fargo</w:t>
      </w:r>
      <w:r w:rsidR="00A80AFA">
        <w:t xml:space="preserve"> registered </w:t>
      </w:r>
      <w:r w:rsidR="00305586">
        <w:t>an</w:t>
      </w:r>
      <w:r w:rsidR="00A80AFA">
        <w:t xml:space="preserve"> increment of capital by 4.4 billion dollars in the prior quarter. Citigroup </w:t>
      </w:r>
      <w:r w:rsidR="003B4543">
        <w:t>Inc.</w:t>
      </w:r>
      <w:r w:rsidR="00A80AFA">
        <w:t xml:space="preserve"> and </w:t>
      </w:r>
      <w:r w:rsidR="00305586">
        <w:t xml:space="preserve">federal home loan bank also reported earnings of more than 300 billion dollars in their first </w:t>
      </w:r>
      <w:r w:rsidR="00035AD9">
        <w:t>quarter. Also, d</w:t>
      </w:r>
      <w:r w:rsidR="003B4543">
        <w:t xml:space="preserve">ue to the accounting rule, accounting firms have to choose to apply fair value to any financial liability or asset. Accounting rules also caused a drastic loss in </w:t>
      </w:r>
      <w:r w:rsidR="00F40A9B">
        <w:t>capital, and</w:t>
      </w:r>
      <w:r w:rsidR="003B4543">
        <w:t xml:space="preserve"> </w:t>
      </w:r>
      <w:r w:rsidR="00F40A9B">
        <w:t>they are not supposed to recognize losses when reporting capital and earnings. The fair value of liquidation differs massively from a liability or asset current value.</w:t>
      </w:r>
    </w:p>
    <w:p w:rsidR="00F40A9B" w:rsidRDefault="00AD3DA9" w:rsidP="00DA55C8">
      <w:pPr>
        <w:rPr>
          <w:b/>
        </w:rPr>
      </w:pPr>
      <w:r w:rsidRPr="00F40A9B">
        <w:rPr>
          <w:b/>
        </w:rPr>
        <w:t>Question Three</w:t>
      </w:r>
    </w:p>
    <w:p w:rsidR="00035AD9" w:rsidRPr="009D1865" w:rsidRDefault="00AD3DA9" w:rsidP="00DA55C8">
      <w:r>
        <w:rPr>
          <w:b/>
        </w:rPr>
        <w:tab/>
      </w:r>
      <w:r w:rsidR="009D1865">
        <w:t xml:space="preserve">Market value is the projected rate of an asset; basically, all types of investments have a market worth.FASB 157 is the controversial fair value accounting standard introduced in the year 2006 to solve the worldwide financial crisis, also known as monetary accounting </w:t>
      </w:r>
      <w:r w:rsidR="00100E05">
        <w:t>standard. The use of appropriate value option for security loan or liability implies that liability or an asset reports at market value the valuation depends on three stages that is level one, level two and level three valuation</w:t>
      </w:r>
    </w:p>
    <w:p w:rsidR="00F40A9B" w:rsidRDefault="00AD3DA9" w:rsidP="00DA55C8">
      <w:pPr>
        <w:rPr>
          <w:b/>
        </w:rPr>
      </w:pPr>
      <w:r>
        <w:rPr>
          <w:b/>
        </w:rPr>
        <w:t>Question Four</w:t>
      </w:r>
    </w:p>
    <w:p w:rsidR="00100E05" w:rsidRDefault="00AD3DA9" w:rsidP="00DA55C8">
      <w:r>
        <w:rPr>
          <w:b/>
        </w:rPr>
        <w:tab/>
      </w:r>
      <w:r w:rsidR="007B1831">
        <w:t xml:space="preserve">IASB is a private and independent international account standards board which improves and </w:t>
      </w:r>
      <w:r w:rsidR="0018612F">
        <w:t>progresses</w:t>
      </w:r>
      <w:r w:rsidR="007B1831">
        <w:t xml:space="preserve"> IFRSs.</w:t>
      </w:r>
      <w:r w:rsidR="0018612F">
        <w:t>Global</w:t>
      </w:r>
      <w:r w:rsidR="007B1831">
        <w:t xml:space="preserve"> </w:t>
      </w:r>
      <w:r w:rsidR="0018612F">
        <w:t>monetary</w:t>
      </w:r>
      <w:r w:rsidR="007B1831">
        <w:t xml:space="preserve"> </w:t>
      </w:r>
      <w:r w:rsidR="0018612F">
        <w:t>commentary</w:t>
      </w:r>
      <w:r w:rsidR="007B1831">
        <w:t xml:space="preserve"> </w:t>
      </w:r>
      <w:r w:rsidR="0018612F">
        <w:t>principles</w:t>
      </w:r>
      <w:r w:rsidR="007B1831">
        <w:t xml:space="preserve"> operates under the oversight of the global financial reporting standards </w:t>
      </w:r>
      <w:r w:rsidR="00C10D5C">
        <w:t xml:space="preserve">foundation. European banks are using different methods to evaluate sovereign </w:t>
      </w:r>
      <w:r w:rsidR="00C21376">
        <w:t xml:space="preserve">debt. Evaluation methods help bank soundness and safety though evasion of potentially massive losses in midyear financial </w:t>
      </w:r>
      <w:r w:rsidR="00371FB8">
        <w:t>report. Italians banks are cutting the number of the government bonds they have to mark to market. Their banks also borrow and spend expansively, which has caused a sharp rise in sovereign bonds.</w:t>
      </w:r>
    </w:p>
    <w:p w:rsidR="00371FB8" w:rsidRDefault="00AD3DA9" w:rsidP="00DA55C8">
      <w:pPr>
        <w:rPr>
          <w:b/>
        </w:rPr>
      </w:pPr>
      <w:r w:rsidRPr="00371FB8">
        <w:rPr>
          <w:b/>
        </w:rPr>
        <w:t>Question Five</w:t>
      </w:r>
    </w:p>
    <w:p w:rsidR="00371FB8" w:rsidRDefault="00AD3DA9" w:rsidP="00DA55C8">
      <w:r>
        <w:rPr>
          <w:b/>
        </w:rPr>
        <w:tab/>
      </w:r>
      <w:r w:rsidR="00DD1772">
        <w:t xml:space="preserve">Banks use different methods for asset measurement with a mixture of valuation techniques since they only need to apply fair value principles to additional liability or assets. In this technique liabilities can mark either way to reflect changes in fair value, thus implying that financial difficulties may increase bank's capital and </w:t>
      </w:r>
      <w:r w:rsidR="00637AE0">
        <w:t>earnings. The</w:t>
      </w:r>
      <w:r w:rsidR="00DD1772">
        <w:t xml:space="preserve"> standards, such as FVA utilization provides an amount of money a liquidator</w:t>
      </w:r>
      <w:r w:rsidR="00637AE0">
        <w:t xml:space="preserve"> receives. Different methods indicate liquidation value which distinguishes itself from the value in use. The technique also enables subjectiveness in the case of a shallow liquid market for the bank's liabilities and assets. Lastly, the methods make banks comparisons </w:t>
      </w:r>
      <w:r w:rsidR="004645E1">
        <w:t>challenging. Historical cost applies to measure fixed assets, while</w:t>
      </w:r>
      <w:r w:rsidR="0096461A">
        <w:t xml:space="preserve"> fair value accounting utilization is to measure statutory bonds. </w:t>
      </w:r>
    </w:p>
    <w:p w:rsidR="008F456A" w:rsidRDefault="008F456A" w:rsidP="00DA55C8"/>
    <w:p w:rsidR="008F456A" w:rsidRPr="00DD1772" w:rsidRDefault="008F456A" w:rsidP="00DA55C8"/>
    <w:sectPr w:rsidR="008F456A" w:rsidRPr="00DD177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D3DA9" w:rsidRDefault="00AD3DA9">
      <w:r>
        <w:separator/>
      </w:r>
    </w:p>
  </w:endnote>
  <w:endnote w:type="continuationSeparator" w:id="0">
    <w:p w:rsidR="00AD3DA9" w:rsidRDefault="00AD3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D3DA9" w:rsidRDefault="00AD3DA9">
      <w:r>
        <w:separator/>
      </w:r>
    </w:p>
  </w:footnote>
  <w:footnote w:type="continuationSeparator" w:id="0">
    <w:p w:rsidR="00AD3DA9" w:rsidRDefault="00AD3D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3243785"/>
      <w:docPartObj>
        <w:docPartGallery w:val="Page Numbers (Top of Page)"/>
        <w:docPartUnique/>
      </w:docPartObj>
    </w:sdtPr>
    <w:sdtEndPr>
      <w:rPr>
        <w:noProof/>
      </w:rPr>
    </w:sdtEndPr>
    <w:sdtContent>
      <w:p w:rsidR="006E2C80" w:rsidRDefault="00AD3DA9">
        <w:pPr>
          <w:pStyle w:val="Header"/>
          <w:jc w:val="right"/>
        </w:pPr>
        <w:r>
          <w:fldChar w:fldCharType="begin"/>
        </w:r>
        <w:r>
          <w:instrText xml:space="preserve"> PAGE   \* MERGEFORMAT </w:instrText>
        </w:r>
        <w:r>
          <w:fldChar w:fldCharType="separate"/>
        </w:r>
        <w:r w:rsidR="0018612F">
          <w:rPr>
            <w:noProof/>
          </w:rPr>
          <w:t>2</w:t>
        </w:r>
        <w:r>
          <w:rPr>
            <w:noProof/>
          </w:rPr>
          <w:fldChar w:fldCharType="end"/>
        </w:r>
      </w:p>
    </w:sdtContent>
  </w:sdt>
  <w:p w:rsidR="006E2C80" w:rsidRDefault="006E2C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C80"/>
    <w:rsid w:val="000007A3"/>
    <w:rsid w:val="00035AD9"/>
    <w:rsid w:val="00044104"/>
    <w:rsid w:val="00100E05"/>
    <w:rsid w:val="0018612F"/>
    <w:rsid w:val="001A03CC"/>
    <w:rsid w:val="001E6FFA"/>
    <w:rsid w:val="00305586"/>
    <w:rsid w:val="00371FB8"/>
    <w:rsid w:val="003B4543"/>
    <w:rsid w:val="004645E1"/>
    <w:rsid w:val="00637AE0"/>
    <w:rsid w:val="006E2C80"/>
    <w:rsid w:val="007B1831"/>
    <w:rsid w:val="008D0E5E"/>
    <w:rsid w:val="008F456A"/>
    <w:rsid w:val="00901A4A"/>
    <w:rsid w:val="0096461A"/>
    <w:rsid w:val="009A4E14"/>
    <w:rsid w:val="009D1865"/>
    <w:rsid w:val="00A80AFA"/>
    <w:rsid w:val="00AD3DA9"/>
    <w:rsid w:val="00AD7547"/>
    <w:rsid w:val="00B166A2"/>
    <w:rsid w:val="00C10D5C"/>
    <w:rsid w:val="00C21376"/>
    <w:rsid w:val="00C7143D"/>
    <w:rsid w:val="00C918D7"/>
    <w:rsid w:val="00DA55C8"/>
    <w:rsid w:val="00DD1772"/>
    <w:rsid w:val="00F40A9B"/>
    <w:rsid w:val="00F61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E94EAD-626B-4A68-9B3C-D5DC543CC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C80"/>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C80"/>
    <w:pPr>
      <w:tabs>
        <w:tab w:val="center" w:pos="4680"/>
        <w:tab w:val="right" w:pos="9360"/>
      </w:tabs>
    </w:pPr>
    <w:rPr>
      <w:rFonts w:eastAsiaTheme="minorHAnsi" w:cstheme="minorBidi"/>
      <w:szCs w:val="22"/>
    </w:rPr>
  </w:style>
  <w:style w:type="character" w:customStyle="1" w:styleId="HeaderChar">
    <w:name w:val="Header Char"/>
    <w:basedOn w:val="DefaultParagraphFont"/>
    <w:link w:val="Header"/>
    <w:uiPriority w:val="99"/>
    <w:rsid w:val="006E2C80"/>
  </w:style>
  <w:style w:type="paragraph" w:styleId="Footer">
    <w:name w:val="footer"/>
    <w:basedOn w:val="Normal"/>
    <w:link w:val="FooterChar"/>
    <w:uiPriority w:val="99"/>
    <w:unhideWhenUsed/>
    <w:rsid w:val="006E2C80"/>
    <w:pPr>
      <w:tabs>
        <w:tab w:val="center" w:pos="4680"/>
        <w:tab w:val="right" w:pos="9360"/>
      </w:tabs>
    </w:pPr>
    <w:rPr>
      <w:rFonts w:eastAsiaTheme="minorHAnsi" w:cstheme="minorBidi"/>
      <w:szCs w:val="22"/>
    </w:rPr>
  </w:style>
  <w:style w:type="character" w:customStyle="1" w:styleId="FooterChar">
    <w:name w:val="Footer Char"/>
    <w:basedOn w:val="DefaultParagraphFont"/>
    <w:link w:val="Footer"/>
    <w:uiPriority w:val="99"/>
    <w:rsid w:val="006E2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2020-09-07T21:51:00Z</dcterms:created>
  <dcterms:modified xsi:type="dcterms:W3CDTF">2020-09-07T21:51:00Z</dcterms:modified>
</cp:coreProperties>
</file>